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78CD" w14:textId="77777777" w:rsidR="00855ACE" w:rsidRPr="007C347F" w:rsidRDefault="00A73D17">
      <w:pPr>
        <w:pStyle w:val="aa"/>
        <w:jc w:val="center"/>
        <w:rPr>
          <w:lang w:val="ru-RU"/>
        </w:rPr>
      </w:pPr>
      <w:r w:rsidRPr="007C347F">
        <w:rPr>
          <w:rFonts w:eastAsia="Times New Roman"/>
          <w:b/>
          <w:color w:val="000000"/>
          <w:sz w:val="32"/>
          <w:lang w:val="ru-RU"/>
        </w:rPr>
        <w:t>Документация, содержащая описание функциональных характеристик экземпляра программного обеспечения, предоставленного для проведения экспертной проверки</w:t>
      </w:r>
    </w:p>
    <w:p w14:paraId="5FBF17A7" w14:textId="77777777" w:rsidR="00855ACE" w:rsidRPr="007C347F" w:rsidRDefault="00855ACE">
      <w:pPr>
        <w:rPr>
          <w:lang w:val="ru-RU"/>
        </w:rPr>
      </w:pPr>
    </w:p>
    <w:p w14:paraId="40FB50F0" w14:textId="02B89168" w:rsidR="00855ACE" w:rsidRPr="007C347F" w:rsidRDefault="00A73D17">
      <w:pPr>
        <w:jc w:val="center"/>
        <w:rPr>
          <w:lang w:val="ru-RU"/>
        </w:rPr>
      </w:pPr>
      <w:r w:rsidRPr="007C347F">
        <w:rPr>
          <w:rFonts w:eastAsia="Times New Roman"/>
          <w:b/>
          <w:lang w:val="ru-RU"/>
        </w:rPr>
        <w:t>Программа для ЭВМ «Скан-Контракт», версия 1.5.6</w:t>
      </w:r>
      <w:r w:rsidR="00807BAA">
        <w:rPr>
          <w:rFonts w:eastAsia="Times New Roman"/>
          <w:b/>
          <w:lang w:val="ru-RU"/>
        </w:rPr>
      </w:r>
      <w:r w:rsidRPr="007C347F">
        <w:rPr>
          <w:rFonts w:eastAsia="Times New Roman"/>
          <w:b/>
          <w:lang w:val="ru-RU"/>
        </w:rPr>
      </w:r>
      <w:r w:rsidR="00807BAA">
        <w:rPr>
          <w:rFonts w:eastAsia="Times New Roman"/>
          <w:b/>
          <w:lang w:val="ru-RU"/>
        </w:rPr>
      </w:r>
    </w:p>
    <w:p w14:paraId="045CD6EA" w14:textId="50D43823" w:rsidR="00855ACE" w:rsidRPr="00807BAA" w:rsidRDefault="00A73D17">
      <w:pPr>
        <w:jc w:val="center"/>
        <w:rPr>
          <w:lang w:val="ru-RU"/>
        </w:rPr>
      </w:pPr>
      <w:r w:rsidRPr="00807BAA">
        <w:rPr>
          <w:rFonts w:eastAsia="Times New Roman"/>
          <w:lang w:val="ru-RU"/>
        </w:rPr>
        <w:t>Правообладатель: Губарьков Дмитрий Сергеевич</w:t>
      </w:r>
    </w:p>
    <w:p w14:paraId="78AD8CAC" w14:textId="77777777" w:rsidR="00855ACE" w:rsidRPr="00807BAA" w:rsidRDefault="00855ACE">
      <w:pPr>
        <w:rPr>
          <w:lang w:val="ru-RU"/>
        </w:rPr>
      </w:pPr>
    </w:p>
    <w:p w14:paraId="34FA8F22" w14:textId="77777777" w:rsidR="00855ACE" w:rsidRPr="007C347F" w:rsidRDefault="00A73D17">
      <w:pPr>
        <w:pStyle w:val="1"/>
        <w:rPr>
          <w:lang w:val="ru-RU"/>
        </w:rPr>
      </w:pPr>
      <w:r w:rsidRPr="007C347F">
        <w:rPr>
          <w:rFonts w:ascii="Times New Roman" w:eastAsia="Times New Roman" w:hAnsi="Times New Roman" w:cs="Times New Roman"/>
          <w:color w:val="000000"/>
          <w:lang w:val="ru-RU"/>
        </w:rPr>
        <w:t>1. Назначение программы</w:t>
      </w:r>
    </w:p>
    <w:p w14:paraId="0B51CD84" w14:textId="77777777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>«Скан-Контракт» — прикладная программа для ЭВМ, предназначенная для учёта государственных и муниципальных контрактов, приёмки исполнения и лимитов бюджетных обязательств заказчика, осуществляющего закупки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5C460357" w14:textId="77777777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Программа устанавливается на рабочее место контрактного управляющего (специалиста контрактной службы) и работает с документами, которые уже находятся в файловых папках заказчика. Ключевая особенность решения: </w:t>
      </w:r>
      <w:r w:rsidRPr="007C347F">
        <w:rPr>
          <w:rFonts w:eastAsia="Times New Roman"/>
          <w:b/>
          <w:sz w:val="23"/>
          <w:lang w:val="ru-RU"/>
        </w:rPr>
        <w:t>реестр контрактов является зеркалом настроенных папок с документами</w:t>
      </w:r>
      <w:r w:rsidRPr="007C347F">
        <w:rPr>
          <w:rFonts w:eastAsia="Times New Roman"/>
          <w:sz w:val="23"/>
          <w:lang w:val="ru-RU"/>
        </w:rPr>
        <w:t>, а не самостоятельным хранилищем. Программа сама просматривает заданные каталоги, распознаёт в них документы контрактов и приёмки, извлекает из них реквизиты и формирует учётные записи; сведения, внесённые пользователем вручную, хранятся рядом с документами в служебных файлах и переносятся вместе с папкой.</w:t>
      </w:r>
    </w:p>
    <w:p w14:paraId="04FAF7E7" w14:textId="77777777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Такой подход снимает с пользователя необходимость дублировать в учётной системе то, что уже отражено в документах, и обеспечивает сохранность сведений при переносе папок между компьютерами и носителями.</w:t>
      </w:r>
    </w:p>
    <w:p w14:paraId="2B04FD7C" w14:textId="77777777" w:rsidR="00855ACE" w:rsidRDefault="00A73D17">
      <w:pPr>
        <w:pStyle w:val="1"/>
      </w:pPr>
      <w:r>
        <w:rPr>
          <w:rFonts w:ascii="Times New Roman" w:eastAsia="Times New Roman" w:hAnsi="Times New Roman" w:cs="Times New Roman"/>
          <w:color w:val="000000"/>
        </w:rPr>
        <w:t>2. Основные функции</w:t>
      </w:r>
    </w:p>
    <w:p w14:paraId="797D4A19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2.1. Реестр контрактов</w:t>
      </w:r>
    </w:p>
    <w:p w14:paraId="569088EE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Автоматическое формирование реестра по настроенным каталогам: программа периодически просматривает папки контрактов и папки приёмки, определяет роль каждого файла по его имени и содержимому и заводит учётную запись на каждую папку контракта.</w:t>
      </w:r>
    </w:p>
    <w:p w14:paraId="01E20960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Извлечение реквизитов из документов в форматах </w:t>
      </w:r>
      <w:r>
        <w:rPr>
          <w:rFonts w:eastAsia="Times New Roman"/>
          <w:sz w:val="23"/>
        </w:rPr>
        <w:t>DOCX</w:t>
      </w:r>
      <w:r w:rsidRPr="007C347F">
        <w:rPr>
          <w:rFonts w:eastAsia="Times New Roman"/>
          <w:sz w:val="23"/>
          <w:lang w:val="ru-RU"/>
        </w:rPr>
        <w:t xml:space="preserve"> и </w:t>
      </w:r>
      <w:r>
        <w:rPr>
          <w:rFonts w:eastAsia="Times New Roman"/>
          <w:sz w:val="23"/>
        </w:rPr>
        <w:t>PDF</w:t>
      </w:r>
      <w:r w:rsidRPr="007C347F">
        <w:rPr>
          <w:rFonts w:eastAsia="Times New Roman"/>
          <w:sz w:val="23"/>
          <w:lang w:val="ru-RU"/>
        </w:rPr>
        <w:t>: номер контракта, дата заключения, идентификационный код закупки, наименование и ИНН поставщика, предмет, цена, сроки исполнения и действия, основание закупки (пункт части 1 статьи 93 Федерального закона № 44-ФЗ), реквизиты сторон, контактные данные поставщика.</w:t>
      </w:r>
    </w:p>
    <w:p w14:paraId="578E6577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Распознавание отсканированных документов, не содержащих текстового слоя (оптическое распознавание символов, русский и английский языки).</w:t>
      </w:r>
    </w:p>
    <w:p w14:paraId="0CD76BEA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Два представления реестра — табличное и плиточное — с общими условиями отбора и сортировки; отбор по финансовому году, способу определения поставщика, коду бюджетной классификации, наличию замечаний автоматической проверки и по быстрым рабочим выборкам (просроченные, с истекающим сроком, с перерасходом, без кодов бюджетной классификации).</w:t>
      </w:r>
    </w:p>
    <w:p w14:paraId="3F53A6C8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Цветовая и знаковая индикация состояния записи: новый, в работе, в оплате, исполнен, расторгнут, перерасход, нулевая сумма; отдельно — приближение и нарушение срока </w:t>
      </w:r>
      <w:r w:rsidRPr="007C347F">
        <w:rPr>
          <w:rFonts w:eastAsia="Times New Roman"/>
          <w:sz w:val="23"/>
          <w:lang w:val="ru-RU"/>
        </w:rPr>
        <w:lastRenderedPageBreak/>
        <w:t>исполнения, отсутствие распределения по кодам бюджетной классификации, отсутствие файла контракта.</w:t>
      </w:r>
    </w:p>
    <w:p w14:paraId="07321808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Подсчёт итогов по текущей выборке и по выделенным записям (цена, кассовый расход).</w:t>
      </w:r>
    </w:p>
    <w:p w14:paraId="27D0A86D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Выгрузка реестра в формат </w:t>
      </w:r>
      <w:r>
        <w:rPr>
          <w:rFonts w:eastAsia="Times New Roman"/>
          <w:sz w:val="23"/>
        </w:rPr>
        <w:t>XLSX</w:t>
      </w:r>
      <w:r w:rsidRPr="007C347F">
        <w:rPr>
          <w:rFonts w:eastAsia="Times New Roman"/>
          <w:sz w:val="23"/>
          <w:lang w:val="ru-RU"/>
        </w:rPr>
        <w:t>.</w:t>
      </w:r>
    </w:p>
    <w:p w14:paraId="0ADA15F3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2.2. Приёмка исполнения и платежи</w:t>
      </w:r>
    </w:p>
    <w:p w14:paraId="6B88AF2A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Учёт документов приёмки: акты, универсальные передаточные документы, товарные накладные — в форматах </w:t>
      </w:r>
      <w:r>
        <w:rPr>
          <w:rFonts w:eastAsia="Times New Roman"/>
          <w:sz w:val="23"/>
        </w:rPr>
        <w:t>DOCX</w:t>
      </w:r>
      <w:r w:rsidRPr="007C347F">
        <w:rPr>
          <w:rFonts w:eastAsia="Times New Roman"/>
          <w:sz w:val="23"/>
          <w:lang w:val="ru-RU"/>
        </w:rPr>
        <w:t xml:space="preserve"> и </w:t>
      </w:r>
      <w:r>
        <w:rPr>
          <w:rFonts w:eastAsia="Times New Roman"/>
          <w:sz w:val="23"/>
        </w:rPr>
        <w:t>PDF</w:t>
      </w:r>
      <w:r w:rsidRPr="007C347F">
        <w:rPr>
          <w:rFonts w:eastAsia="Times New Roman"/>
          <w:sz w:val="23"/>
          <w:lang w:val="ru-RU"/>
        </w:rPr>
        <w:t>, включая отсканированные.</w:t>
      </w:r>
    </w:p>
    <w:p w14:paraId="75B4DEAF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Привязка документа приёмки к контракту по совокупности признаков: собственный идентификатор документа, контрольная сумма файла, номер и дата контракта.</w:t>
      </w:r>
    </w:p>
    <w:p w14:paraId="36CFC64D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Период-центричный учёт исполнения и оплаты: суммы принятого и оплаченного распределяются по отчётным периодам, поддерживается авансирование.</w:t>
      </w:r>
    </w:p>
    <w:p w14:paraId="5BF75302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Контроль соответствия принятого и оплаченного цене контракта, выявление перерасхода.</w:t>
      </w:r>
    </w:p>
    <w:p w14:paraId="3A38682A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2.3. Формирование документов</w:t>
      </w:r>
    </w:p>
    <w:p w14:paraId="2100F770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b/>
          <w:sz w:val="23"/>
          <w:lang w:val="ru-RU"/>
        </w:rPr>
        <w:t>Акт сдачи-приёмки</w:t>
      </w:r>
      <w:r w:rsidRPr="007C347F">
        <w:rPr>
          <w:rFonts w:eastAsia="Times New Roman"/>
          <w:sz w:val="23"/>
          <w:lang w:val="ru-RU"/>
        </w:rPr>
        <w:t xml:space="preserve"> в формате </w:t>
      </w:r>
      <w:r>
        <w:rPr>
          <w:rFonts w:eastAsia="Times New Roman"/>
          <w:sz w:val="23"/>
        </w:rPr>
        <w:t>DOCX</w:t>
      </w:r>
      <w:r w:rsidRPr="007C347F">
        <w:rPr>
          <w:rFonts w:eastAsia="Times New Roman"/>
          <w:sz w:val="23"/>
          <w:lang w:val="ru-RU"/>
        </w:rPr>
        <w:t xml:space="preserve"> — на основании универсального передаточного документа, обычного акта или товарной накладной, по образцу ранее оформленного акта либо с заполнением с нуля. Поддерживаются два способа расчёта налога на добавленную стоимость: начисление сверх суммы и выделение из суммы.</w:t>
      </w:r>
    </w:p>
    <w:p w14:paraId="3D2157E8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b/>
          <w:sz w:val="23"/>
          <w:lang w:val="ru-RU"/>
        </w:rPr>
        <w:t>Акт приёмки по форме ОКУД 0510452</w:t>
      </w:r>
      <w:r w:rsidRPr="007C347F">
        <w:rPr>
          <w:rFonts w:eastAsia="Times New Roman"/>
          <w:sz w:val="23"/>
          <w:lang w:val="ru-RU"/>
        </w:rPr>
        <w:t xml:space="preserve"> — печатная форма с обязательными графами раздела 4. Форма предназначена для подготовки сведений и не заменяет электронный документ и подписание в государственной интегрированной информационной системе «Электронный бюджет».</w:t>
      </w:r>
    </w:p>
    <w:p w14:paraId="43363F6A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b/>
          <w:sz w:val="23"/>
          <w:lang w:val="ru-RU"/>
        </w:rPr>
        <w:t>Техническое задание</w:t>
      </w:r>
      <w:r w:rsidRPr="007C347F">
        <w:rPr>
          <w:rFonts w:eastAsia="Times New Roman"/>
          <w:sz w:val="23"/>
          <w:lang w:val="ru-RU"/>
        </w:rPr>
        <w:t xml:space="preserve"> в формате </w:t>
      </w:r>
      <w:r>
        <w:rPr>
          <w:rFonts w:eastAsia="Times New Roman"/>
          <w:sz w:val="23"/>
        </w:rPr>
        <w:t>DOCX</w:t>
      </w:r>
      <w:r w:rsidRPr="007C347F">
        <w:rPr>
          <w:rFonts w:eastAsia="Times New Roman"/>
          <w:sz w:val="23"/>
          <w:lang w:val="ru-RU"/>
        </w:rPr>
        <w:t xml:space="preserve"> — на основании выбранной позиции каталога товаров, работ и услуг с характеристиками.</w:t>
      </w:r>
    </w:p>
    <w:p w14:paraId="132BA113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b/>
          <w:sz w:val="23"/>
          <w:lang w:val="ru-RU"/>
        </w:rPr>
        <w:t>Обоснование начальной (максимальной) цены контракта</w:t>
      </w:r>
      <w:r w:rsidRPr="007C347F">
        <w:rPr>
          <w:rFonts w:eastAsia="Times New Roman"/>
          <w:sz w:val="23"/>
          <w:lang w:val="ru-RU"/>
        </w:rPr>
        <w:t xml:space="preserve"> в формате </w:t>
      </w:r>
      <w:r>
        <w:rPr>
          <w:rFonts w:eastAsia="Times New Roman"/>
          <w:sz w:val="23"/>
        </w:rPr>
        <w:t>DOCX</w:t>
      </w:r>
      <w:r w:rsidRPr="007C347F">
        <w:rPr>
          <w:rFonts w:eastAsia="Times New Roman"/>
          <w:sz w:val="23"/>
          <w:lang w:val="ru-RU"/>
        </w:rPr>
        <w:t xml:space="preserve"> — с приведением цен исполненных контрактов корректирующими коэффициентами.</w:t>
      </w:r>
    </w:p>
    <w:p w14:paraId="0BCF0808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Формирование документов выполняется по шаблонам, поставляемым вместе с программой; реквизиты заказчика и подписанта подставляются из настроек.</w:t>
      </w:r>
    </w:p>
    <w:p w14:paraId="2073E23E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2.4. Лимиты бюджетных обязательств</w:t>
      </w:r>
    </w:p>
    <w:p w14:paraId="18BB1501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Ведение лимитов в разрезе кодов бюджетной классификации и финансовых лет.</w:t>
      </w:r>
    </w:p>
    <w:p w14:paraId="5C218ED8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Распределение цены контракта по кодам бюджетной классификации, в том числе по нескольким годам для переходящих контрактов.</w:t>
      </w:r>
    </w:p>
    <w:p w14:paraId="0E71D940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Расчёт остатков, выявление превышения лимита, учёт резервирования лимита позициями плана-графика.</w:t>
      </w:r>
    </w:p>
    <w:p w14:paraId="40A82B7D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Определение года закупки по году лимита, а не по дате подписания контракта; переходящий контракт учитывается в объёме каждого года соответствующей частью.</w:t>
      </w:r>
    </w:p>
    <w:p w14:paraId="0E993FF1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2.5. План-график закупок</w:t>
      </w:r>
    </w:p>
    <w:p w14:paraId="2836B8C0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Ведение позиций плана-графика как самостоятельных объектов учёта: ручной ввод либо импорт актуального плана-графика из открытой части Единой информационной системы в сфере закупок по идентификационному номеру налогоплательщика заказчика.</w:t>
      </w:r>
    </w:p>
    <w:p w14:paraId="565A5A11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Автоматическое сопоставление позиции плана-графика и заключённого контракта по структуре идентификационного кода закупки.</w:t>
      </w:r>
    </w:p>
    <w:p w14:paraId="633E207B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Учёт экономии по результатам закупки с подтверждением пользователем освобождения лимита.</w:t>
      </w:r>
    </w:p>
    <w:p w14:paraId="6170F482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Ведение закупочной документации позиции плана-графика.</w:t>
      </w:r>
    </w:p>
    <w:p w14:paraId="456119A9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lastRenderedPageBreak/>
        <w:t>Расчёт сроков закупочных процедур с учётом производственного календаря и правил исчисления сроков (статья 193 Гражданского кодекса Российской Федерации).</w:t>
      </w:r>
    </w:p>
    <w:p w14:paraId="39223A97" w14:textId="77777777" w:rsidR="00855ACE" w:rsidRPr="007C347F" w:rsidRDefault="00A73D17">
      <w:pPr>
        <w:pStyle w:val="21"/>
        <w:rPr>
          <w:lang w:val="ru-RU"/>
        </w:rPr>
      </w:pPr>
      <w:r w:rsidRPr="007C347F">
        <w:rPr>
          <w:rFonts w:ascii="Times New Roman" w:eastAsia="Times New Roman" w:hAnsi="Times New Roman" w:cs="Times New Roman"/>
          <w:color w:val="000000"/>
          <w:lang w:val="ru-RU"/>
        </w:rPr>
        <w:t>2.6. Национальный режим и требования к товарам</w:t>
      </w:r>
    </w:p>
    <w:p w14:paraId="712E96A8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Определение применимых требований национального режима по коду Общероссийского классификатора продукции по видам экономической деятельности: запреты, ограничения допуска и минимальная обязательная доля, требования к способу закупки и участникам, дополнительные требования к участникам.</w:t>
      </w:r>
    </w:p>
    <w:p w14:paraId="2356A923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Учёт требований иной природы, применяемых по тому же коду: ставка налога на добавленную стоимость и освобождение от него, прослеживаемость товаров, обязательная маркировка, закупка у единственного поставщика, нормирование, запрет авансирования, особенности описания объекта закупки.</w:t>
      </w:r>
    </w:p>
    <w:p w14:paraId="4EA3722A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Разделение выдачи на группы по смыслу требования (допуск товара; способ закупки и участники; учёт при расчёте, в документах и приёмке) с пояснением каждого требования и ссылкой на нормативный правовой акт.</w:t>
      </w:r>
    </w:p>
    <w:p w14:paraId="6F5F95EA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Перечни формируются из официальных документов, поставляемых вместе с программой: при запуске проверяется, не изменились ли документы, и правила пересобираются автоматически. Обновление перечней возможно как обновлением программы, так и размещением актуального документа в соответствующей папке — без изменения программного кода.</w:t>
      </w:r>
    </w:p>
    <w:p w14:paraId="410717FC" w14:textId="77777777" w:rsidR="00855ACE" w:rsidRPr="007C347F" w:rsidRDefault="00A73D17">
      <w:pPr>
        <w:pStyle w:val="21"/>
        <w:rPr>
          <w:lang w:val="ru-RU"/>
        </w:rPr>
      </w:pPr>
      <w:r w:rsidRPr="007C347F">
        <w:rPr>
          <w:rFonts w:ascii="Times New Roman" w:eastAsia="Times New Roman" w:hAnsi="Times New Roman" w:cs="Times New Roman"/>
          <w:color w:val="000000"/>
          <w:lang w:val="ru-RU"/>
        </w:rPr>
        <w:t>2.7. Справочники и сведения из Единой информационной системы</w:t>
      </w:r>
    </w:p>
    <w:p w14:paraId="483000A1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Справочник кодов Общероссийского классификатора продукции по видам экономической деятельности и каталога товаров, работ, услуг: поиск кода, просмотр характеристик, копирование значений.</w:t>
      </w:r>
    </w:p>
    <w:p w14:paraId="7494F168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Получение из открытой части Единой информационной системы сведений о контракте, сведений о поставщике и цен исполненных контрактов для обоснования начальной (максимальной) цены, с фильтрацией по региону, периоду, статусу исполнения и наличию неустоек.</w:t>
      </w:r>
    </w:p>
    <w:p w14:paraId="10FE2995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Кэширование полученных сведений для работы без повторных обращений к сети.</w:t>
      </w:r>
    </w:p>
    <w:p w14:paraId="018DE3EB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Обращение к ЕИС запускает пользователь. Сайт правообладателя используется для проверки обновлений и поддержки. Основной учёт, справочники и работа с локальными документами доступны без сети; сетевые функции зависят от доступности соответствующего сайта.</w:t>
      </w:r>
    </w:p>
    <w:p w14:paraId="3B6D56FC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2.8. Автоматическая проверка и отчётность</w:t>
      </w:r>
    </w:p>
    <w:p w14:paraId="6CAEC641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Автоматическая проверка учётных записей: сверка сумм, дат и номеров в документах и в учётной записи, контроль распределения по кодам бюджетной классификации, контроль сроков. Результат проверки отображается в реестре отдельной колонкой и не изменяет учётных данных.</w:t>
      </w:r>
    </w:p>
    <w:p w14:paraId="07F8A693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Отчёт о закупках у субъектов малого предпринимательства и социально ориентированных некоммерческих организаций (статья 30 Федерального закона № 44-ФЗ).</w:t>
      </w:r>
    </w:p>
    <w:p w14:paraId="691B0BB9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Аналитическая вкладка: сводные показатели исполнения, использования лимитов, структуры закупок.</w:t>
      </w:r>
    </w:p>
    <w:p w14:paraId="4D9DAC7F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2.9. Режимы работы и данные</w:t>
      </w:r>
    </w:p>
    <w:p w14:paraId="34EF5A61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b/>
          <w:sz w:val="23"/>
          <w:lang w:val="ru-RU"/>
        </w:rPr>
        <w:t>Одиночный режим</w:t>
      </w:r>
      <w:r w:rsidRPr="007C347F">
        <w:rPr>
          <w:rFonts w:eastAsia="Times New Roman"/>
          <w:sz w:val="23"/>
          <w:lang w:val="ru-RU"/>
        </w:rPr>
        <w:t xml:space="preserve"> — база данных </w:t>
      </w:r>
      <w:r>
        <w:rPr>
          <w:rFonts w:eastAsia="Times New Roman"/>
          <w:sz w:val="23"/>
        </w:rPr>
        <w:t>SQLite</w:t>
      </w:r>
      <w:r w:rsidRPr="007C347F">
        <w:rPr>
          <w:rFonts w:eastAsia="Times New Roman"/>
          <w:sz w:val="23"/>
          <w:lang w:val="ru-RU"/>
        </w:rPr>
        <w:t xml:space="preserve"> в каталоге пользователя; установка и настройка сервера не требуются.</w:t>
      </w:r>
    </w:p>
    <w:p w14:paraId="5D6B17B3" w14:textId="77777777" w:rsidR="00855ACE" w:rsidRDefault="00A73D17">
      <w:pPr>
        <w:pStyle w:val="a0"/>
        <w:spacing w:after="60"/>
      </w:pPr>
      <w:r w:rsidRPr="007C347F">
        <w:rPr>
          <w:rFonts w:eastAsia="Times New Roman"/>
          <w:b/>
          <w:sz w:val="23"/>
          <w:lang w:val="ru-RU"/>
        </w:rPr>
        <w:lastRenderedPageBreak/>
        <w:t>Многопользовательский режим</w:t>
      </w:r>
      <w:r w:rsidRPr="007C347F">
        <w:rPr>
          <w:rFonts w:eastAsia="Times New Roman"/>
          <w:sz w:val="23"/>
          <w:lang w:val="ru-RU"/>
        </w:rPr>
        <w:t xml:space="preserve"> — общая база данных на сервере </w:t>
      </w:r>
      <w:r>
        <w:rPr>
          <w:rFonts w:eastAsia="Times New Roman"/>
          <w:sz w:val="23"/>
        </w:rPr>
        <w:t>PostgreSQL</w:t>
      </w:r>
      <w:r w:rsidRPr="007C347F">
        <w:rPr>
          <w:rFonts w:eastAsia="Times New Roman"/>
          <w:sz w:val="23"/>
          <w:lang w:val="ru-RU"/>
        </w:rPr>
        <w:t xml:space="preserve">, поставляемом в составе программы: один компьютер выполняет роль сервера, остальные подключаются как клиенты и видят изменения других пользователей. </w:t>
      </w:r>
      <w:r>
        <w:rPr>
          <w:rFonts w:eastAsia="Times New Roman"/>
          <w:sz w:val="23"/>
        </w:rPr>
        <w:t>Поддерживаются роли пользователей и отображение присутствия.</w:t>
      </w:r>
    </w:p>
    <w:p w14:paraId="70790D69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Автоматическое создание резервных копий базы данных и восстановление из них.</w:t>
      </w:r>
    </w:p>
    <w:p w14:paraId="6F0457BF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Автоматическое приведение схемы базы данных при обновлении программы без участия пользователя.</w:t>
      </w:r>
    </w:p>
    <w:p w14:paraId="14A73C17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Ведение журнала работы программы с возможностью просмотра из интерфейса и сохранением в файл.</w:t>
      </w:r>
    </w:p>
    <w:p w14:paraId="6EB90203" w14:textId="77777777" w:rsidR="00855ACE" w:rsidRDefault="00A73D17">
      <w:pPr>
        <w:pStyle w:val="21"/>
      </w:pPr>
      <w:r>
        <w:rPr>
          <w:rFonts w:ascii="Times New Roman" w:eastAsia="Times New Roman" w:hAnsi="Times New Roman" w:cs="Times New Roman"/>
          <w:color w:val="000000"/>
        </w:rPr>
        <w:t>2.10. Вспомогательные средства</w:t>
      </w:r>
    </w:p>
    <w:p w14:paraId="4A8F2E1E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Демонстрационный режим с полностью вымышленным учебным набором данных и пошаговым маршрутом знакомства с программой.</w:t>
      </w:r>
    </w:p>
    <w:p w14:paraId="71E906A4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Встроенное учебное пособие и справка по разделам.</w:t>
      </w:r>
    </w:p>
    <w:p w14:paraId="13B0C84D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Два оформления интерфейса и светлая и тёмная темы.</w:t>
      </w:r>
    </w:p>
    <w:p w14:paraId="0000FC3B" w14:textId="77777777" w:rsidR="00855ACE" w:rsidRPr="007C347F" w:rsidRDefault="00A73D17">
      <w:pPr>
        <w:pStyle w:val="1"/>
        <w:rPr>
          <w:lang w:val="ru-RU"/>
        </w:rPr>
      </w:pPr>
      <w:r w:rsidRPr="007C347F">
        <w:rPr>
          <w:rFonts w:ascii="Times New Roman" w:eastAsia="Times New Roman" w:hAnsi="Times New Roman" w:cs="Times New Roman"/>
          <w:color w:val="000000"/>
          <w:lang w:val="ru-RU"/>
        </w:rPr>
        <w:t>3. Архитектура и состав</w:t>
      </w:r>
    </w:p>
    <w:p w14:paraId="40D91722" w14:textId="77777777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Программа представляет собой самостоятельное настольное приложение для Microsoft Windows. Для основной работы не требуется учётная запись или постоянное подключение к интернету. По выбору пользователя программа обращается к ЕИС, а также к сайту правообладателя для проверки обновлений и получения поддержки. В сетевом режиме используется локальный сервер PostgreSQL учреждения.</w:t>
      </w:r>
      <w:r>
        <w:rPr>
          <w:rFonts w:eastAsia="Times New Roman"/>
          <w:sz w:val="23"/>
        </w:rPr>
      </w:r>
      <w:r w:rsidRPr="007C347F">
        <w:rPr>
          <w:rFonts w:eastAsia="Times New Roman"/>
          <w:sz w:val="23"/>
          <w:lang w:val="ru-RU"/>
        </w:rPr>
      </w:r>
      <w:r>
        <w:rPr>
          <w:rFonts w:eastAsia="Times New Roman"/>
          <w:sz w:val="23"/>
        </w:rPr>
      </w:r>
      <w:r w:rsidRPr="007C347F">
        <w:rPr>
          <w:rFonts w:eastAsia="Times New Roman"/>
          <w:sz w:val="23"/>
          <w:lang w:val="ru-RU"/>
        </w:rPr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855ACE" w14:paraId="0E546ED6" w14:textId="77777777">
        <w:trPr>
          <w:tblHeader/>
          <w:cantSplit/>
        </w:trPr>
        <w:tc>
          <w:tcPr>
            <w:tcW w:w="4819" w:type="dxa"/>
          </w:tcPr>
          <w:p w14:paraId="635959EE" w14:textId="77777777" w:rsidR="00855ACE" w:rsidRDefault="00A73D17">
            <w:pPr>
              <w:spacing w:after="40"/>
            </w:pPr>
            <w:r>
              <w:rPr>
                <w:rFonts w:eastAsia="Times New Roman"/>
                <w:b/>
                <w:color w:val="1F4D78"/>
                <w:sz w:val="20"/>
              </w:rPr>
              <w:t>Уровень</w:t>
            </w:r>
          </w:p>
        </w:tc>
        <w:tc>
          <w:tcPr>
            <w:tcW w:w="4819" w:type="dxa"/>
          </w:tcPr>
          <w:p w14:paraId="75DBDA59" w14:textId="77777777" w:rsidR="00855ACE" w:rsidRDefault="00A73D17">
            <w:pPr>
              <w:spacing w:after="40"/>
            </w:pPr>
            <w:r>
              <w:rPr>
                <w:rFonts w:eastAsia="Times New Roman"/>
                <w:b/>
                <w:color w:val="1F4D78"/>
                <w:sz w:val="20"/>
              </w:rPr>
              <w:t>Реализация</w:t>
            </w:r>
          </w:p>
        </w:tc>
      </w:tr>
      <w:tr w:rsidR="00855ACE" w14:paraId="322A78BA" w14:textId="77777777">
        <w:trPr>
          <w:cantSplit/>
        </w:trPr>
        <w:tc>
          <w:tcPr>
            <w:tcW w:w="4819" w:type="dxa"/>
          </w:tcPr>
          <w:p w14:paraId="582CCDCD" w14:textId="77777777" w:rsidR="00855ACE" w:rsidRDefault="00A73D17">
            <w:pPr>
              <w:spacing w:after="40" w:line="240" w:lineRule="auto"/>
            </w:pPr>
            <w:r>
              <w:rPr>
                <w:rFonts w:eastAsia="Times New Roman"/>
                <w:sz w:val="20"/>
              </w:rPr>
              <w:t>Пользовательский интерфейс</w:t>
            </w:r>
          </w:p>
        </w:tc>
        <w:tc>
          <w:tcPr>
            <w:tcW w:w="4819" w:type="dxa"/>
          </w:tcPr>
          <w:p w14:paraId="49E004F1" w14:textId="77777777" w:rsidR="00855ACE" w:rsidRDefault="00A73D17">
            <w:pPr>
              <w:spacing w:after="40" w:line="240" w:lineRule="auto"/>
            </w:pPr>
            <w:r>
              <w:rPr>
                <w:rFonts w:eastAsia="Times New Roman"/>
                <w:sz w:val="20"/>
              </w:rPr>
              <w:t>Библиотека Qt (PySide6 для Windows 10 и 11; PySide2 для Windows 7)</w:t>
            </w:r>
          </w:p>
        </w:tc>
      </w:tr>
      <w:tr w:rsidR="00855ACE" w:rsidRPr="00D61C2B" w14:paraId="736338A5" w14:textId="77777777">
        <w:trPr>
          <w:cantSplit/>
        </w:trPr>
        <w:tc>
          <w:tcPr>
            <w:tcW w:w="4819" w:type="dxa"/>
          </w:tcPr>
          <w:p w14:paraId="226655FB" w14:textId="77777777" w:rsidR="00855ACE" w:rsidRDefault="00A73D17">
            <w:pPr>
              <w:spacing w:after="40" w:line="240" w:lineRule="auto"/>
            </w:pPr>
            <w:r>
              <w:rPr>
                <w:rFonts w:eastAsia="Times New Roman"/>
                <w:sz w:val="20"/>
              </w:rPr>
              <w:t>Прикладная логика</w:t>
            </w:r>
          </w:p>
        </w:tc>
        <w:tc>
          <w:tcPr>
            <w:tcW w:w="4819" w:type="dxa"/>
          </w:tcPr>
          <w:p w14:paraId="4AFD52ED" w14:textId="77777777" w:rsidR="00855ACE" w:rsidRPr="007C347F" w:rsidRDefault="00A73D17">
            <w:pPr>
              <w:spacing w:after="40" w:line="240" w:lineRule="auto"/>
              <w:rPr>
                <w:lang w:val="ru-RU"/>
              </w:rPr>
            </w:pPr>
            <w:r w:rsidRPr="007C347F">
              <w:rPr>
                <w:rFonts w:eastAsia="Times New Roman"/>
                <w:sz w:val="20"/>
                <w:lang w:val="ru-RU"/>
              </w:rPr>
              <w:t xml:space="preserve">Модули на языке </w:t>
            </w:r>
            <w:r>
              <w:rPr>
                <w:rFonts w:eastAsia="Times New Roman"/>
                <w:sz w:val="20"/>
              </w:rPr>
              <w:t>Python</w:t>
            </w:r>
            <w:r w:rsidRPr="007C347F">
              <w:rPr>
                <w:rFonts w:eastAsia="Times New Roman"/>
                <w:sz w:val="20"/>
                <w:lang w:val="ru-RU"/>
              </w:rPr>
              <w:t>: разбор документов, расчёты, формирование документов, определение требований национального режима, взаимодействие с Единой информационной системой</w:t>
            </w:r>
          </w:p>
        </w:tc>
      </w:tr>
      <w:tr w:rsidR="00855ACE" w:rsidRPr="00D61C2B" w14:paraId="189D4061" w14:textId="77777777">
        <w:trPr>
          <w:cantSplit/>
        </w:trPr>
        <w:tc>
          <w:tcPr>
            <w:tcW w:w="4819" w:type="dxa"/>
          </w:tcPr>
          <w:p w14:paraId="4080F705" w14:textId="77777777" w:rsidR="00855ACE" w:rsidRDefault="00A73D17">
            <w:pPr>
              <w:spacing w:after="40" w:line="240" w:lineRule="auto"/>
            </w:pPr>
            <w:r>
              <w:rPr>
                <w:rFonts w:eastAsia="Times New Roman"/>
                <w:sz w:val="20"/>
              </w:rPr>
              <w:t>Хранение данных</w:t>
            </w:r>
          </w:p>
        </w:tc>
        <w:tc>
          <w:tcPr>
            <w:tcW w:w="4819" w:type="dxa"/>
          </w:tcPr>
          <w:p w14:paraId="2E915601" w14:textId="77777777" w:rsidR="00855ACE" w:rsidRPr="007C347F" w:rsidRDefault="00A73D17">
            <w:pPr>
              <w:spacing w:after="40" w:line="240" w:lineRule="auto"/>
              <w:rPr>
                <w:lang w:val="ru-RU"/>
              </w:rPr>
            </w:pPr>
            <w:r>
              <w:rPr>
                <w:rFonts w:eastAsia="Times New Roman"/>
                <w:sz w:val="20"/>
              </w:rPr>
              <w:t>SQLAlchemy</w:t>
            </w:r>
            <w:r w:rsidRPr="007C347F">
              <w:rPr>
                <w:rFonts w:eastAsia="Times New Roman"/>
                <w:sz w:val="20"/>
                <w:lang w:val="ru-RU"/>
              </w:rPr>
              <w:t xml:space="preserve">; СУБД </w:t>
            </w:r>
            <w:r>
              <w:rPr>
                <w:rFonts w:eastAsia="Times New Roman"/>
                <w:sz w:val="20"/>
              </w:rPr>
              <w:t>SQLite</w:t>
            </w:r>
            <w:r w:rsidRPr="007C347F">
              <w:rPr>
                <w:rFonts w:eastAsia="Times New Roman"/>
                <w:sz w:val="20"/>
                <w:lang w:val="ru-RU"/>
              </w:rPr>
              <w:t xml:space="preserve"> (одиночный режим) либо </w:t>
            </w:r>
            <w:r>
              <w:rPr>
                <w:rFonts w:eastAsia="Times New Roman"/>
                <w:sz w:val="20"/>
              </w:rPr>
              <w:t>PostgreSQL</w:t>
            </w:r>
            <w:r w:rsidRPr="007C347F">
              <w:rPr>
                <w:rFonts w:eastAsia="Times New Roman"/>
                <w:sz w:val="20"/>
                <w:lang w:val="ru-RU"/>
              </w:rPr>
              <w:t xml:space="preserve"> (многопользовательский режим)</w:t>
            </w:r>
          </w:p>
        </w:tc>
      </w:tr>
      <w:tr w:rsidR="00855ACE" w14:paraId="3E59287F" w14:textId="77777777">
        <w:trPr>
          <w:cantSplit/>
        </w:trPr>
        <w:tc>
          <w:tcPr>
            <w:tcW w:w="4819" w:type="dxa"/>
          </w:tcPr>
          <w:p w14:paraId="63BB7ECF" w14:textId="77777777" w:rsidR="00855ACE" w:rsidRDefault="00A73D17">
            <w:pPr>
              <w:spacing w:after="40" w:line="240" w:lineRule="auto"/>
            </w:pPr>
            <w:r>
              <w:rPr>
                <w:rFonts w:eastAsia="Times New Roman"/>
                <w:sz w:val="20"/>
              </w:rPr>
              <w:t>Обработка документов</w:t>
            </w:r>
          </w:p>
        </w:tc>
        <w:tc>
          <w:tcPr>
            <w:tcW w:w="4819" w:type="dxa"/>
          </w:tcPr>
          <w:p w14:paraId="2AFCC688" w14:textId="77777777" w:rsidR="00855ACE" w:rsidRDefault="00A73D17">
            <w:pPr>
              <w:spacing w:after="40" w:line="240" w:lineRule="auto"/>
            </w:pPr>
            <w:r>
              <w:rPr>
                <w:rFonts w:eastAsia="Times New Roman"/>
                <w:sz w:val="20"/>
              </w:rPr>
              <w:t>python-docx (DOCX), pdfplumber и pypdfium2 (PDF), Tesseract OCR (отсканированные документы)</w:t>
            </w:r>
          </w:p>
        </w:tc>
      </w:tr>
      <w:tr w:rsidR="00855ACE" w:rsidRPr="00D61C2B" w14:paraId="08161FE2" w14:textId="77777777">
        <w:trPr>
          <w:cantSplit/>
        </w:trPr>
        <w:tc>
          <w:tcPr>
            <w:tcW w:w="4819" w:type="dxa"/>
          </w:tcPr>
          <w:p w14:paraId="7D7368D9" w14:textId="77777777" w:rsidR="00855ACE" w:rsidRDefault="00A73D17">
            <w:pPr>
              <w:spacing w:after="40" w:line="240" w:lineRule="auto"/>
            </w:pPr>
            <w:r>
              <w:rPr>
                <w:rFonts w:eastAsia="Times New Roman"/>
                <w:sz w:val="20"/>
              </w:rPr>
              <w:t>Лицензирование</w:t>
            </w:r>
          </w:p>
        </w:tc>
        <w:tc>
          <w:tcPr>
            <w:tcW w:w="4819" w:type="dxa"/>
          </w:tcPr>
          <w:p w14:paraId="4F8A4F6E" w14:textId="77777777" w:rsidR="00855ACE" w:rsidRPr="007C347F" w:rsidRDefault="00A73D17">
            <w:pPr>
              <w:spacing w:after="40" w:line="240" w:lineRule="auto"/>
              <w:rPr>
                <w:lang w:val="ru-RU"/>
              </w:rPr>
            </w:pPr>
            <w:r w:rsidRPr="007C347F">
              <w:rPr>
                <w:rFonts w:eastAsia="Times New Roman"/>
                <w:sz w:val="20"/>
                <w:lang w:val="ru-RU"/>
              </w:rPr>
              <w:t xml:space="preserve">Электронная подпись </w:t>
            </w:r>
            <w:r>
              <w:rPr>
                <w:rFonts w:eastAsia="Times New Roman"/>
                <w:sz w:val="20"/>
              </w:rPr>
              <w:t>Ed</w:t>
            </w:r>
            <w:r w:rsidRPr="007C347F">
              <w:rPr>
                <w:rFonts w:eastAsia="Times New Roman"/>
                <w:sz w:val="20"/>
                <w:lang w:val="ru-RU"/>
              </w:rPr>
              <w:t xml:space="preserve">25519 (библиотека </w:t>
            </w:r>
            <w:r>
              <w:rPr>
                <w:rFonts w:eastAsia="Times New Roman"/>
                <w:sz w:val="20"/>
              </w:rPr>
              <w:t>cryptography</w:t>
            </w:r>
            <w:r w:rsidRPr="007C347F">
              <w:rPr>
                <w:rFonts w:eastAsia="Times New Roman"/>
                <w:sz w:val="20"/>
                <w:lang w:val="ru-RU"/>
              </w:rPr>
              <w:t>), проверка выполняется автономно на компьютере пользователя</w:t>
            </w:r>
          </w:p>
        </w:tc>
      </w:tr>
    </w:tbl>
    <w:p w14:paraId="53D1CA50" w14:textId="77777777" w:rsidR="00855ACE" w:rsidRPr="007C347F" w:rsidRDefault="00855ACE">
      <w:pPr>
        <w:rPr>
          <w:lang w:val="ru-RU"/>
        </w:rPr>
      </w:pPr>
    </w:p>
    <w:p w14:paraId="324B3528" w14:textId="77777777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Поставка включает среду исполнения и все необходимые компоненты; установка дополнительного программного обеспечения не требуется.</w:t>
      </w:r>
    </w:p>
    <w:p w14:paraId="0A430E0F" w14:textId="77777777" w:rsidR="00855ACE" w:rsidRPr="007C347F" w:rsidRDefault="00A73D17">
      <w:pPr>
        <w:pStyle w:val="1"/>
        <w:rPr>
          <w:lang w:val="ru-RU"/>
        </w:rPr>
      </w:pPr>
      <w:r w:rsidRPr="007C347F">
        <w:rPr>
          <w:rFonts w:ascii="Times New Roman" w:eastAsia="Times New Roman" w:hAnsi="Times New Roman" w:cs="Times New Roman"/>
          <w:color w:val="000000"/>
          <w:lang w:val="ru-RU"/>
        </w:rPr>
        <w:t>4. Сведения о компонентах с открытым исходным кодом</w:t>
      </w:r>
    </w:p>
    <w:p w14:paraId="497F16B6" w14:textId="5DDCDBE4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В состав программы входят компоненты третьих лиц, распространяемые на свободных лицензиях (</w:t>
      </w:r>
      <w:r>
        <w:rPr>
          <w:rFonts w:eastAsia="Times New Roman"/>
          <w:sz w:val="23"/>
        </w:rPr>
        <w:t>MIT</w:t>
      </w:r>
      <w:r w:rsidRPr="007C347F">
        <w:rPr>
          <w:rFonts w:eastAsia="Times New Roman"/>
          <w:sz w:val="23"/>
          <w:lang w:val="ru-RU"/>
        </w:rPr>
        <w:t xml:space="preserve">, </w:t>
      </w:r>
      <w:r>
        <w:rPr>
          <w:rFonts w:eastAsia="Times New Roman"/>
          <w:sz w:val="23"/>
        </w:rPr>
        <w:t>BSD</w:t>
      </w:r>
      <w:r w:rsidRPr="007C347F">
        <w:rPr>
          <w:rFonts w:eastAsia="Times New Roman"/>
          <w:sz w:val="23"/>
          <w:lang w:val="ru-RU"/>
        </w:rPr>
        <w:t xml:space="preserve">, </w:t>
      </w:r>
      <w:r>
        <w:rPr>
          <w:rFonts w:eastAsia="Times New Roman"/>
          <w:sz w:val="23"/>
        </w:rPr>
        <w:t>Apache</w:t>
      </w:r>
      <w:r w:rsidRPr="007C347F">
        <w:rPr>
          <w:rFonts w:eastAsia="Times New Roman"/>
          <w:sz w:val="23"/>
          <w:lang w:val="ru-RU"/>
        </w:rPr>
        <w:t xml:space="preserve"> 2.0, </w:t>
      </w:r>
      <w:r>
        <w:rPr>
          <w:rFonts w:eastAsia="Times New Roman"/>
          <w:sz w:val="23"/>
        </w:rPr>
        <w:t>LGPL</w:t>
      </w:r>
      <w:r w:rsidRPr="007C347F">
        <w:rPr>
          <w:rFonts w:eastAsia="Times New Roman"/>
          <w:sz w:val="23"/>
          <w:lang w:val="ru-RU"/>
        </w:rPr>
        <w:t xml:space="preserve"> 3.0, </w:t>
      </w:r>
      <w:r>
        <w:rPr>
          <w:rFonts w:eastAsia="Times New Roman"/>
          <w:sz w:val="23"/>
        </w:rPr>
        <w:t>PostgreSQL</w:t>
      </w:r>
      <w:r w:rsidRPr="007C347F">
        <w:rPr>
          <w:rFonts w:eastAsia="Times New Roman"/>
          <w:sz w:val="23"/>
          <w:lang w:val="ru-RU"/>
        </w:rPr>
        <w:t xml:space="preserve"> </w:t>
      </w:r>
      <w:r>
        <w:rPr>
          <w:rFonts w:eastAsia="Times New Roman"/>
          <w:sz w:val="23"/>
        </w:rPr>
        <w:t>License</w:t>
      </w:r>
      <w:r w:rsidRPr="007C347F">
        <w:rPr>
          <w:rFonts w:eastAsia="Times New Roman"/>
          <w:sz w:val="23"/>
          <w:lang w:val="ru-RU"/>
        </w:rPr>
        <w:t xml:space="preserve"> и другие). Полный перечень с указанием версии, назначения и лицензии приведён в документе «Уведомление о компонентах третьих лиц», входящем в поставку, и в документе «Перечень компонентов».</w:t>
      </w:r>
    </w:p>
    <w:p w14:paraId="2B9725FA" w14:textId="77777777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Условия используемых лицензий не ограничивают распространение программы на территории Российской Федерации, не содержат территориальных ограничений и не требуют раскрытия исходного текста программы. Компоненты, распространяемые на лицензии </w:t>
      </w:r>
      <w:r>
        <w:rPr>
          <w:rFonts w:eastAsia="Times New Roman"/>
          <w:sz w:val="23"/>
        </w:rPr>
        <w:t>GNU</w:t>
      </w:r>
      <w:r w:rsidRPr="007C347F">
        <w:rPr>
          <w:rFonts w:eastAsia="Times New Roman"/>
          <w:sz w:val="23"/>
          <w:lang w:val="ru-RU"/>
        </w:rPr>
        <w:t xml:space="preserve"> </w:t>
      </w:r>
      <w:r>
        <w:rPr>
          <w:rFonts w:eastAsia="Times New Roman"/>
          <w:sz w:val="23"/>
        </w:rPr>
        <w:t>Affero</w:t>
      </w:r>
      <w:r w:rsidRPr="007C347F">
        <w:rPr>
          <w:rFonts w:eastAsia="Times New Roman"/>
          <w:sz w:val="23"/>
          <w:lang w:val="ru-RU"/>
        </w:rPr>
        <w:t xml:space="preserve"> </w:t>
      </w:r>
      <w:r>
        <w:rPr>
          <w:rFonts w:eastAsia="Times New Roman"/>
          <w:sz w:val="23"/>
        </w:rPr>
        <w:t>General</w:t>
      </w:r>
      <w:r w:rsidRPr="007C347F">
        <w:rPr>
          <w:rFonts w:eastAsia="Times New Roman"/>
          <w:sz w:val="23"/>
          <w:lang w:val="ru-RU"/>
        </w:rPr>
        <w:t xml:space="preserve"> </w:t>
      </w:r>
      <w:r>
        <w:rPr>
          <w:rFonts w:eastAsia="Times New Roman"/>
          <w:sz w:val="23"/>
        </w:rPr>
        <w:lastRenderedPageBreak/>
        <w:t>Public</w:t>
      </w:r>
      <w:r w:rsidRPr="007C347F">
        <w:rPr>
          <w:rFonts w:eastAsia="Times New Roman"/>
          <w:sz w:val="23"/>
          <w:lang w:val="ru-RU"/>
        </w:rPr>
        <w:t xml:space="preserve"> </w:t>
      </w:r>
      <w:r>
        <w:rPr>
          <w:rFonts w:eastAsia="Times New Roman"/>
          <w:sz w:val="23"/>
        </w:rPr>
        <w:t>License</w:t>
      </w:r>
      <w:r w:rsidRPr="007C347F">
        <w:rPr>
          <w:rFonts w:eastAsia="Times New Roman"/>
          <w:sz w:val="23"/>
          <w:lang w:val="ru-RU"/>
        </w:rPr>
        <w:t xml:space="preserve">, </w:t>
      </w:r>
      <w:r w:rsidRPr="007C347F">
        <w:rPr>
          <w:rFonts w:eastAsia="Times New Roman"/>
          <w:b/>
          <w:sz w:val="23"/>
          <w:lang w:val="ru-RU"/>
        </w:rPr>
        <w:t>намеренно исключены</w:t>
      </w:r>
      <w:r w:rsidRPr="007C347F">
        <w:rPr>
          <w:rFonts w:eastAsia="Times New Roman"/>
          <w:sz w:val="23"/>
          <w:lang w:val="ru-RU"/>
        </w:rPr>
        <w:t xml:space="preserve"> из состава поставки: разбор документов в формате </w:t>
      </w:r>
      <w:r>
        <w:rPr>
          <w:rFonts w:eastAsia="Times New Roman"/>
          <w:sz w:val="23"/>
        </w:rPr>
        <w:t>PDF</w:t>
      </w:r>
      <w:r w:rsidRPr="007C347F">
        <w:rPr>
          <w:rFonts w:eastAsia="Times New Roman"/>
          <w:sz w:val="23"/>
          <w:lang w:val="ru-RU"/>
        </w:rPr>
        <w:t xml:space="preserve"> выполняется только через компоненты на лицензиях </w:t>
      </w:r>
      <w:r>
        <w:rPr>
          <w:rFonts w:eastAsia="Times New Roman"/>
          <w:sz w:val="23"/>
        </w:rPr>
        <w:t>MIT</w:t>
      </w:r>
      <w:r w:rsidRPr="007C347F">
        <w:rPr>
          <w:rFonts w:eastAsia="Times New Roman"/>
          <w:sz w:val="23"/>
          <w:lang w:val="ru-RU"/>
        </w:rPr>
        <w:t xml:space="preserve">, </w:t>
      </w:r>
      <w:r>
        <w:rPr>
          <w:rFonts w:eastAsia="Times New Roman"/>
          <w:sz w:val="23"/>
        </w:rPr>
        <w:t>BSD</w:t>
      </w:r>
      <w:r w:rsidRPr="007C347F">
        <w:rPr>
          <w:rFonts w:eastAsia="Times New Roman"/>
          <w:sz w:val="23"/>
          <w:lang w:val="ru-RU"/>
        </w:rPr>
        <w:t xml:space="preserve"> и </w:t>
      </w:r>
      <w:r>
        <w:rPr>
          <w:rFonts w:eastAsia="Times New Roman"/>
          <w:sz w:val="23"/>
        </w:rPr>
        <w:t>Apache</w:t>
      </w:r>
      <w:r w:rsidRPr="007C347F">
        <w:rPr>
          <w:rFonts w:eastAsia="Times New Roman"/>
          <w:sz w:val="23"/>
          <w:lang w:val="ru-RU"/>
        </w:rPr>
        <w:t xml:space="preserve"> 2.0.</w:t>
      </w:r>
    </w:p>
    <w:p w14:paraId="6098A3D6" w14:textId="77777777" w:rsidR="00855ACE" w:rsidRPr="007C347F" w:rsidRDefault="00A73D17">
      <w:pPr>
        <w:jc w:val="both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Компоненты используются без изменения их исходного текста. Библиотеки на лицензии </w:t>
      </w:r>
      <w:r>
        <w:rPr>
          <w:rFonts w:eastAsia="Times New Roman"/>
          <w:sz w:val="23"/>
        </w:rPr>
        <w:t>LGPL</w:t>
      </w:r>
      <w:r w:rsidRPr="007C347F">
        <w:rPr>
          <w:rFonts w:eastAsia="Times New Roman"/>
          <w:sz w:val="23"/>
          <w:lang w:val="ru-RU"/>
        </w:rPr>
        <w:t xml:space="preserve"> 3.0 подключаются динамически, что соответствует условиям указанной лицензии.</w:t>
      </w:r>
    </w:p>
    <w:p w14:paraId="5AD23589" w14:textId="77777777" w:rsidR="00855ACE" w:rsidRDefault="00A73D17">
      <w:pPr>
        <w:pStyle w:val="1"/>
      </w:pPr>
      <w:r>
        <w:rPr>
          <w:rFonts w:ascii="Times New Roman" w:eastAsia="Times New Roman" w:hAnsi="Times New Roman" w:cs="Times New Roman"/>
          <w:color w:val="000000"/>
        </w:rPr>
        <w:t>5. Ограничения применения</w:t>
      </w:r>
    </w:p>
    <w:p w14:paraId="4D5CBF15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Программа не является средством защиты информации и не предназначена для обработки сведений, составляющих государственную тайну.</w:t>
      </w:r>
    </w:p>
    <w:p w14:paraId="7A1B5B32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Программа не заменяет работу в Единой информационной системе в сфере закупок и в государственной интегрированной информационной системе «Электронный бюджет»: она готовит сведения и документы, а их размещение и подписание осуществляются пользователем в соответствующих системах.</w:t>
      </w:r>
    </w:p>
    <w:p w14:paraId="068693D0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>Формируемые программой документы подлежат проверке пользователем перед подписанием и направлением.</w:t>
      </w:r>
    </w:p>
    <w:p w14:paraId="73E155C5" w14:textId="77777777" w:rsidR="00855ACE" w:rsidRPr="007C347F" w:rsidRDefault="00A73D17">
      <w:pPr>
        <w:pStyle w:val="a0"/>
        <w:spacing w:after="60"/>
        <w:rPr>
          <w:lang w:val="ru-RU"/>
        </w:rPr>
      </w:pPr>
      <w:r w:rsidRPr="007C347F">
        <w:rPr>
          <w:rFonts w:eastAsia="Times New Roman"/>
          <w:sz w:val="23"/>
          <w:lang w:val="ru-RU"/>
        </w:rPr>
        <w:t xml:space="preserve">Программа функционирует под управлением операционной системы </w:t>
      </w:r>
      <w:r>
        <w:rPr>
          <w:rFonts w:eastAsia="Times New Roman"/>
          <w:sz w:val="23"/>
        </w:rPr>
        <w:t>Microsoft</w:t>
      </w:r>
      <w:r w:rsidRPr="007C347F">
        <w:rPr>
          <w:rFonts w:eastAsia="Times New Roman"/>
          <w:sz w:val="23"/>
          <w:lang w:val="ru-RU"/>
        </w:rPr>
        <w:t xml:space="preserve"> </w:t>
      </w:r>
      <w:r>
        <w:rPr>
          <w:rFonts w:eastAsia="Times New Roman"/>
          <w:sz w:val="23"/>
        </w:rPr>
        <w:t>Windows</w:t>
      </w:r>
      <w:r w:rsidRPr="007C347F">
        <w:rPr>
          <w:rFonts w:eastAsia="Times New Roman"/>
          <w:sz w:val="23"/>
          <w:lang w:val="ru-RU"/>
        </w:rPr>
        <w:t xml:space="preserve"> (64-разрядной). Сведения о совместимости с иными операционными системами приведены в заявлении отдельно.</w:t>
      </w:r>
    </w:p>
    <w:p w14:paraId="26A46426" w14:textId="77777777" w:rsidR="00855ACE" w:rsidRPr="007C347F" w:rsidRDefault="00855ACE">
      <w:pPr>
        <w:rPr>
          <w:lang w:val="ru-RU"/>
        </w:rPr>
      </w:pPr>
    </w:p>
    <w:p>
      <w:pPr>
        <w:pStyle w:val="1"/>
      </w:pPr>
      <w:r>
        <w:rPr>
          <w:color w:val="000000"/>
        </w:rPr>
        <w:t>6. Классы ПО и актуальные функции</w:t>
      </w:r>
    </w:p>
    <w:p>
      <w:pPr/>
      <w:r>
        <w:t>Классы, указанные правообладателем: 12.20 «Информационные системы для решения специфических отраслевых задач»; 09.01 «Средства управления бизнес-процессами (BPM)».</w:t>
      </w:r>
    </w:p>
    <w:p>
      <w:pPr/>
      <w:r>
        <w:t>Для класса 12.20 предметная область — учёт закупок, контрактов, приёмки, платежей и ЛБО. Для класса 09.01 программа поддерживает связанные этапы планирования, подготовки документов, учёта исполнения и контроля оплаты. Эти сведения описывают имеющиеся функции, не заявляют универсальное моделирование произвольных бизнес-процессов.</w:t>
      </w:r>
    </w:p>
    <w:p>
      <w:pPr/>
      <w:r>
        <w:t>Реестры отражают настроенные каталоги. Изменения файлов обрабатываются с использованием кэша; полное чтение запускается из обслуживания с предварительной сверкой изменений. Контракты и позиции плана можно помещать в общую корзину и восстанавливать.</w:t>
      </w:r>
    </w:p>
    <w:p>
      <w:pPr/>
      <w:r>
        <w:t>Акты и УПД доступны в едином списке; пользователь включает и отключает учёт документа. При появлении или изменении файла автоматически проверяются доступные итоговые суммы. Подробная калькуляция строк с НДС и округлениями запускается отдельно во вкладке «Расчёт и итоги» и сохраняется до изменения файла. Неполное чтение обозначается явно.</w:t>
      </w:r>
    </w:p>
    <w:p>
      <w:pPr/>
      <w:r>
        <w:t>Позиции плана ЕИС сохраняются локально; окно импорта показывает новые и изменившиеся позиции. Каталоги позиций сгруппированы по годам и могут содержать закупочную документацию. Кнопки документов открывают соответствующие файлы.</w:t>
      </w:r>
    </w:p>
    <w:p>
      <w:pPr/>
      <w:r>
        <w:t>Национальный режим оценивается по полным локальным перечням ПП № 1875 с датами вступления изменений. Преимущество, запрет и ограничение различаются; неоднозначные наименования и исключения требуют уточнения пользователем. Для 44-ФЗ не применяется минимальная доля закупок, установленная для 223-ФЗ.</w:t>
      </w:r>
    </w:p>
    <w:p>
      <w:r>
        <w:t>ОКПД2 и КТРУ открываются отдельно. ОКПД2 работает локально и показывает национальный режим. В конструкторе ТЗ доступны обе команды выбора.</w:t>
      </w:r>
    </w:p>
    <w:p w14:paraId="0BA2C9C5" w14:textId="77777777" w:rsidR="00855ACE" w:rsidRDefault="00A73D17">
      <w:pPr>
        <w:jc w:val="center"/>
      </w:pPr>
      <w:r>
        <w:rPr>
          <w:rFonts w:eastAsia="Times New Roman"/>
          <w:color w:val="5F6973"/>
          <w:sz w:val="22"/>
        </w:rPr>
        <w:t>Комсомольск-на-Амуре, 2026</w:t>
      </w:r>
    </w:p>
    <w:sectPr w:rsidR="00855ACE" w:rsidSect="00034616">
      <w:footerReference w:type="default" r:id="rId8"/>
      <w:headerReference w:type="default" r:id="rId11"/>
      <w:pgSz w:w="11906" w:h="16838"/>
      <w:pgMar w:top="1134" w:right="850" w:bottom="1134" w:left="141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72F40" w14:textId="77777777" w:rsidR="00E85527" w:rsidRDefault="00E85527">
      <w:pPr>
        <w:spacing w:after="0" w:line="240" w:lineRule="auto"/>
      </w:pPr>
      <w:r>
        <w:separator/>
      </w:r>
    </w:p>
  </w:endnote>
  <w:endnote w:type="continuationSeparator" w:id="0">
    <w:p w14:paraId="6F2DED40" w14:textId="77777777" w:rsidR="00E85527" w:rsidRDefault="00E85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A08B" w14:textId="700807F8" w:rsidR="00855ACE" w:rsidRDefault="00A73D17">
    <w:pPr>
      <w:pStyle w:val="a7"/>
      <w:jc w:val="right"/>
    </w:pPr>
    <w:r>
      <w:rPr>
        <w:rFonts w:eastAsia="Times New Roman"/>
        <w:color w:val="5F6973"/>
        <w:sz w:val="18"/>
      </w:rPr>
      <w:fldChar w:fldCharType="begin"/>
    </w:r>
    <w:r>
      <w:rPr>
        <w:rFonts w:eastAsia="Times New Roman"/>
        <w:color w:val="5F6973"/>
        <w:sz w:val="18"/>
      </w:rPr>
      <w:instrText xml:space="preserve"> PAGE </w:instrText>
    </w:r>
    <w:r>
      <w:rPr>
        <w:rFonts w:eastAsia="Times New Roman"/>
        <w:color w:val="5F6973"/>
        <w:sz w:val="18"/>
      </w:rPr>
      <w:fldChar w:fldCharType="separate"/>
    </w:r>
    <w:r w:rsidR="007C347F">
      <w:rPr>
        <w:rFonts w:eastAsia="Times New Roman"/>
        <w:noProof/>
        <w:color w:val="5F6973"/>
        <w:sz w:val="18"/>
      </w:rPr>
      <w:t>1</w:t>
    </w:r>
    <w:r>
      <w:rPr>
        <w:rFonts w:eastAsia="Times New Roman"/>
        <w:color w:val="5F697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A3F4" w14:textId="77777777" w:rsidR="00E85527" w:rsidRDefault="00E85527">
      <w:pPr>
        <w:spacing w:after="0" w:line="240" w:lineRule="auto"/>
      </w:pPr>
      <w:r>
        <w:separator/>
      </w:r>
    </w:p>
  </w:footnote>
  <w:footnote w:type="continuationSeparator" w:id="0">
    <w:p w14:paraId="60A0BE98" w14:textId="77777777" w:rsidR="00E85527" w:rsidRDefault="00E85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8517027">
    <w:abstractNumId w:val="8"/>
  </w:num>
  <w:num w:numId="2" w16cid:durableId="325793462">
    <w:abstractNumId w:val="6"/>
  </w:num>
  <w:num w:numId="3" w16cid:durableId="815030410">
    <w:abstractNumId w:val="5"/>
  </w:num>
  <w:num w:numId="4" w16cid:durableId="1989741373">
    <w:abstractNumId w:val="4"/>
  </w:num>
  <w:num w:numId="5" w16cid:durableId="517624675">
    <w:abstractNumId w:val="7"/>
  </w:num>
  <w:num w:numId="6" w16cid:durableId="1292325798">
    <w:abstractNumId w:val="3"/>
  </w:num>
  <w:num w:numId="7" w16cid:durableId="700008157">
    <w:abstractNumId w:val="2"/>
  </w:num>
  <w:num w:numId="8" w16cid:durableId="772670423">
    <w:abstractNumId w:val="1"/>
  </w:num>
  <w:num w:numId="9" w16cid:durableId="174929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B4A"/>
    <w:rsid w:val="0015074B"/>
    <w:rsid w:val="0029639D"/>
    <w:rsid w:val="00326F90"/>
    <w:rsid w:val="00331515"/>
    <w:rsid w:val="00527C85"/>
    <w:rsid w:val="007C347F"/>
    <w:rsid w:val="00807BAA"/>
    <w:rsid w:val="00855ACE"/>
    <w:rsid w:val="00A73D17"/>
    <w:rsid w:val="00AA1D8D"/>
    <w:rsid w:val="00B47730"/>
    <w:rsid w:val="00BB76F7"/>
    <w:rsid w:val="00BF6646"/>
    <w:rsid w:val="00C30B34"/>
    <w:rsid w:val="00CB0664"/>
    <w:rsid w:val="00D61C2B"/>
    <w:rsid w:val="00E855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CD3D7"/>
  <w14:defaultImageDpi w14:val="300"/>
  <w15:docId w15:val="{7D5F7FD4-80E7-4FB5-B45A-ED78BA06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1F4D78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F4D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F4D78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5</Pages>
  <Words>1773</Words>
  <Characters>10112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Дмитрий Сергеевич</cp:lastModifiedBy>
  <cp:revision>4</cp:revision>
  <dcterms:created xsi:type="dcterms:W3CDTF">2013-12-23T23:15:00Z</dcterms:created>
  <dcterms:modified xsi:type="dcterms:W3CDTF">2026-09-30T12:46:00Z</dcterms:modified>
  <cp:category/>
</cp:coreProperties>
</file>